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acustico: Autorizzazione in deroga per i cantieri edili - stradali - indust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Comune puo' autorizzare l'attivita' di cantieri edili, stradali o industriali in deroga ai limiti vigenti in campo di inquinamento acustico, ai sensi della L. 447/95, art. 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. 447/1995 - D.P.C.M. 14 novembre 1997 - Determinazione dei valori limite delle sorgenti sonore - Legge regionale - Regolamento di attuazione del Piano comunale di Zonizzazione Acu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